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0041" w:rsidR="00B40041" w:rsidP="00B40041" w:rsidRDefault="00B40041" w14:paraId="16668476" w14:textId="32727984">
      <w:pPr>
        <w:pStyle w:val="Heading1"/>
        <w:jc w:val="center"/>
      </w:pPr>
      <w:r>
        <w:t>New Jersey States Determined Performance Levels (SDPL)</w:t>
      </w:r>
      <w:r w:rsidR="005937A1">
        <w:t xml:space="preserve"> *</w:t>
      </w:r>
    </w:p>
    <w:p w:rsidR="4BB1A4D5" w:rsidP="6D1944CA" w:rsidRDefault="4BB1A4D5" w14:paraId="30998D32" w14:textId="33BD9CF6">
      <w:pPr>
        <w:pStyle w:val="Caption"/>
        <w:keepNext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6D1944CA">
        <w:rPr>
          <w:rFonts w:ascii="Arial" w:hAnsi="Arial" w:cs="Arial"/>
          <w:b/>
          <w:bCs/>
          <w:i w:val="0"/>
          <w:iCs w:val="0"/>
          <w:sz w:val="22"/>
          <w:szCs w:val="22"/>
        </w:rPr>
        <w:t>Postsecondary State Determined Performance Levels (SDPL)</w:t>
      </w:r>
    </w:p>
    <w:tbl>
      <w:tblPr>
        <w:tblStyle w:val="TableGrid"/>
        <w:tblW w:w="13193" w:type="dxa"/>
        <w:tblLook w:val="04A0" w:firstRow="1" w:lastRow="0" w:firstColumn="1" w:lastColumn="0" w:noHBand="0" w:noVBand="1"/>
      </w:tblPr>
      <w:tblGrid>
        <w:gridCol w:w="2325"/>
        <w:gridCol w:w="1313"/>
        <w:gridCol w:w="1620"/>
        <w:gridCol w:w="1575"/>
        <w:gridCol w:w="1620"/>
        <w:gridCol w:w="1575"/>
        <w:gridCol w:w="1575"/>
        <w:gridCol w:w="1590"/>
      </w:tblGrid>
      <w:tr w:rsidR="00EE3B79" w:rsidTr="7B99F209" w14:paraId="7E350719" w14:textId="331F2729">
        <w:trPr>
          <w:trHeight w:val="300"/>
        </w:trPr>
        <w:tc>
          <w:tcPr>
            <w:tcW w:w="2325" w:type="dxa"/>
            <w:tcMar/>
          </w:tcPr>
          <w:p w:rsidR="00EE3B79" w:rsidP="00EE3B79" w:rsidRDefault="00EE3B79" w14:paraId="771C844E" w14:textId="5935FEE7">
            <w:r>
              <w:t>Indicator</w:t>
            </w:r>
          </w:p>
        </w:tc>
        <w:tc>
          <w:tcPr>
            <w:tcW w:w="1313" w:type="dxa"/>
            <w:tcMar/>
          </w:tcPr>
          <w:p w:rsidR="00EE3B79" w:rsidP="00EE3B79" w:rsidRDefault="00EE3B79" w14:paraId="50567561" w14:textId="64D8A9C7">
            <w:r>
              <w:t>Baseline Level</w:t>
            </w:r>
          </w:p>
        </w:tc>
        <w:tc>
          <w:tcPr>
            <w:tcW w:w="1620" w:type="dxa"/>
            <w:tcMar/>
          </w:tcPr>
          <w:p w:rsidR="00EE3B79" w:rsidP="00EE3B79" w:rsidRDefault="00EE3B79" w14:paraId="0957ECC6" w14:textId="166383D4">
            <w:r>
              <w:t>FY2020 Performance Level</w:t>
            </w:r>
          </w:p>
        </w:tc>
        <w:tc>
          <w:tcPr>
            <w:tcW w:w="1575" w:type="dxa"/>
            <w:tcMar/>
          </w:tcPr>
          <w:p w:rsidR="00EE3B79" w:rsidP="00EE3B79" w:rsidRDefault="00EE3B79" w14:paraId="4A744A38" w14:textId="2717BD1B">
            <w:r>
              <w:t>FY2021 Performance Level</w:t>
            </w:r>
          </w:p>
        </w:tc>
        <w:tc>
          <w:tcPr>
            <w:tcW w:w="1620" w:type="dxa"/>
            <w:tcMar/>
          </w:tcPr>
          <w:p w:rsidR="00EE3B79" w:rsidP="00EE3B79" w:rsidRDefault="00EE3B79" w14:paraId="71B441A7" w14:textId="7DD96CCC">
            <w:r>
              <w:t>FY2022 Performance Level</w:t>
            </w:r>
          </w:p>
        </w:tc>
        <w:tc>
          <w:tcPr>
            <w:tcW w:w="1575" w:type="dxa"/>
            <w:tcMar/>
          </w:tcPr>
          <w:p w:rsidR="00EE3B79" w:rsidP="00EE3B79" w:rsidRDefault="00EE3B79" w14:paraId="652F2273" w14:textId="68090350">
            <w:r>
              <w:t>FY2023 Performance Level</w:t>
            </w:r>
          </w:p>
        </w:tc>
        <w:tc>
          <w:tcPr>
            <w:tcW w:w="1575" w:type="dxa"/>
            <w:tcMar/>
          </w:tcPr>
          <w:p w:rsidR="00EE3B79" w:rsidP="00EE3B79" w:rsidRDefault="00EE3B79" w14:paraId="7F906A92" w14:textId="1FDE2487">
            <w:r>
              <w:t>FY2024 Performance Level</w:t>
            </w:r>
          </w:p>
        </w:tc>
        <w:tc>
          <w:tcPr>
            <w:tcW w:w="1590" w:type="dxa"/>
            <w:tcMar/>
          </w:tcPr>
          <w:p w:rsidR="00EE3B79" w:rsidP="00EE3B79" w:rsidRDefault="00EE3B79" w14:paraId="4D2E132F" w14:textId="4B9DC4E2">
            <w:r>
              <w:t>FY2025 Performance Level</w:t>
            </w:r>
          </w:p>
        </w:tc>
      </w:tr>
      <w:tr w:rsidR="00EE3B79" w:rsidTr="7B99F209" w14:paraId="2477A9ED" w14:textId="7BA2C0E5">
        <w:trPr>
          <w:trHeight w:val="300"/>
        </w:trPr>
        <w:tc>
          <w:tcPr>
            <w:tcW w:w="2325" w:type="dxa"/>
            <w:tcMar/>
          </w:tcPr>
          <w:p w:rsidR="00EE3B79" w:rsidP="00EE3B79" w:rsidRDefault="00EE3B79" w14:paraId="75178DF2" w14:textId="6A1AE51D">
            <w:r>
              <w:t>1P1: Postsecondary Retention and Placement</w:t>
            </w:r>
          </w:p>
        </w:tc>
        <w:tc>
          <w:tcPr>
            <w:tcW w:w="1313" w:type="dxa"/>
            <w:tcMar/>
          </w:tcPr>
          <w:p w:rsidR="00EE3B79" w:rsidP="00EE3B79" w:rsidRDefault="00EE3B79" w14:paraId="65432F53" w14:textId="011AF401">
            <w:r>
              <w:t>82.45%</w:t>
            </w:r>
          </w:p>
        </w:tc>
        <w:tc>
          <w:tcPr>
            <w:tcW w:w="1620" w:type="dxa"/>
            <w:tcMar/>
          </w:tcPr>
          <w:p w:rsidR="00EE3B79" w:rsidP="00EE3B79" w:rsidRDefault="00EE3B79" w14:paraId="0C9B3D3D" w14:textId="0C6A6459">
            <w:r>
              <w:t>83.25%</w:t>
            </w:r>
          </w:p>
        </w:tc>
        <w:tc>
          <w:tcPr>
            <w:tcW w:w="1575" w:type="dxa"/>
            <w:tcMar/>
          </w:tcPr>
          <w:p w:rsidR="00EE3B79" w:rsidP="00EE3B79" w:rsidRDefault="00EE3B79" w14:paraId="621F46A6" w14:textId="54DBDDF7">
            <w:r>
              <w:t>83.30%</w:t>
            </w:r>
          </w:p>
        </w:tc>
        <w:tc>
          <w:tcPr>
            <w:tcW w:w="1620" w:type="dxa"/>
            <w:tcMar/>
          </w:tcPr>
          <w:p w:rsidR="00EE3B79" w:rsidP="00EE3B79" w:rsidRDefault="00EE3B79" w14:paraId="7E8ABF45" w14:textId="0AE3C352">
            <w:r>
              <w:t>83.35%</w:t>
            </w:r>
          </w:p>
        </w:tc>
        <w:tc>
          <w:tcPr>
            <w:tcW w:w="1575" w:type="dxa"/>
            <w:tcMar/>
          </w:tcPr>
          <w:p w:rsidR="00EE3B79" w:rsidP="00EE3B79" w:rsidRDefault="00EE3B79" w14:paraId="1B4CC164" w14:textId="23A1F3A7">
            <w:r>
              <w:t>83.40%</w:t>
            </w:r>
          </w:p>
        </w:tc>
        <w:tc>
          <w:tcPr>
            <w:tcW w:w="1575" w:type="dxa"/>
            <w:tcMar/>
          </w:tcPr>
          <w:p w:rsidR="00EE3B79" w:rsidP="00EE3B79" w:rsidRDefault="00EE3B79" w14:paraId="5EF1566E" w14:textId="3AC176B6">
            <w:r>
              <w:t>86.08%</w:t>
            </w:r>
          </w:p>
        </w:tc>
        <w:tc>
          <w:tcPr>
            <w:tcW w:w="1590" w:type="dxa"/>
            <w:tcMar/>
          </w:tcPr>
          <w:p w:rsidR="00EE3B79" w:rsidP="00EE3B79" w:rsidRDefault="00EE3B79" w14:paraId="2DCF14B1" w14:textId="768CD273">
            <w:r>
              <w:t>88.94%</w:t>
            </w:r>
          </w:p>
        </w:tc>
      </w:tr>
      <w:tr w:rsidR="00EE3B79" w:rsidTr="7B99F209" w14:paraId="6498BE01" w14:textId="7C599BBF">
        <w:trPr>
          <w:trHeight w:val="300"/>
        </w:trPr>
        <w:tc>
          <w:tcPr>
            <w:tcW w:w="2325" w:type="dxa"/>
            <w:tcMar/>
          </w:tcPr>
          <w:p w:rsidR="00EE3B79" w:rsidP="00EE3B79" w:rsidRDefault="00EE3B79" w14:paraId="7697E7BE" w14:textId="43FB61EC">
            <w:r>
              <w:t>2P1: Earned Recognized Postsecondary Credential</w:t>
            </w:r>
          </w:p>
        </w:tc>
        <w:tc>
          <w:tcPr>
            <w:tcW w:w="1313" w:type="dxa"/>
            <w:tcMar/>
          </w:tcPr>
          <w:p w:rsidR="00EE3B79" w:rsidP="00EE3B79" w:rsidRDefault="00EE3B79" w14:paraId="1C1D5D32" w14:textId="786DEE6C">
            <w:r>
              <w:t>42.28%</w:t>
            </w:r>
          </w:p>
        </w:tc>
        <w:tc>
          <w:tcPr>
            <w:tcW w:w="1620" w:type="dxa"/>
            <w:tcMar/>
          </w:tcPr>
          <w:p w:rsidR="00EE3B79" w:rsidP="00EE3B79" w:rsidRDefault="00EE3B79" w14:paraId="25FFE600" w14:textId="69D29F0B">
            <w:r>
              <w:t>42.30%</w:t>
            </w:r>
          </w:p>
          <w:p w:rsidR="00EE3B79" w:rsidP="00EE3B79" w:rsidRDefault="00EE3B79" w14:paraId="39F52276" w14:textId="6420711C"/>
        </w:tc>
        <w:tc>
          <w:tcPr>
            <w:tcW w:w="1575" w:type="dxa"/>
            <w:tcMar/>
          </w:tcPr>
          <w:p w:rsidR="00EE3B79" w:rsidP="00EE3B79" w:rsidRDefault="00EE3B79" w14:paraId="7EB58A78" w14:textId="6001F425">
            <w:r>
              <w:t>42.80%</w:t>
            </w:r>
          </w:p>
        </w:tc>
        <w:tc>
          <w:tcPr>
            <w:tcW w:w="1620" w:type="dxa"/>
            <w:tcMar/>
          </w:tcPr>
          <w:p w:rsidR="00EE3B79" w:rsidP="00EE3B79" w:rsidRDefault="00EE3B79" w14:paraId="058B7EA4" w14:textId="3D8C83E4">
            <w:r>
              <w:t>43.00%</w:t>
            </w:r>
          </w:p>
        </w:tc>
        <w:tc>
          <w:tcPr>
            <w:tcW w:w="1575" w:type="dxa"/>
            <w:tcMar/>
          </w:tcPr>
          <w:p w:rsidR="00EE3B79" w:rsidP="00EE3B79" w:rsidRDefault="00EE3B79" w14:paraId="663A744B" w14:textId="7371592E">
            <w:r>
              <w:t>43.25%</w:t>
            </w:r>
          </w:p>
        </w:tc>
        <w:tc>
          <w:tcPr>
            <w:tcW w:w="1575" w:type="dxa"/>
            <w:tcMar/>
          </w:tcPr>
          <w:p w:rsidR="00EE3B79" w:rsidP="00EE3B79" w:rsidRDefault="00EE3B79" w14:paraId="4033901C" w14:textId="369E6B60">
            <w:r>
              <w:t>49.36%</w:t>
            </w:r>
          </w:p>
        </w:tc>
        <w:tc>
          <w:tcPr>
            <w:tcW w:w="1590" w:type="dxa"/>
            <w:tcMar/>
          </w:tcPr>
          <w:p w:rsidR="00EE3B79" w:rsidP="00EE3B79" w:rsidRDefault="00EE3B79" w14:paraId="14B8D93D" w14:textId="1B35F546">
            <w:r>
              <w:t>51.18%</w:t>
            </w:r>
          </w:p>
        </w:tc>
      </w:tr>
      <w:tr w:rsidR="00EE3B79" w:rsidTr="7B99F209" w14:paraId="2DA6B007" w14:textId="1272AD8A">
        <w:trPr>
          <w:trHeight w:val="300"/>
        </w:trPr>
        <w:tc>
          <w:tcPr>
            <w:tcW w:w="2325" w:type="dxa"/>
            <w:tcMar/>
          </w:tcPr>
          <w:p w:rsidR="00EE3B79" w:rsidP="00EE3B79" w:rsidRDefault="00EE3B79" w14:paraId="59E630AF" w14:textId="6BDD80F7">
            <w:r>
              <w:t>3P2: Nontraditional Program Enrollment</w:t>
            </w:r>
          </w:p>
        </w:tc>
        <w:tc>
          <w:tcPr>
            <w:tcW w:w="1313" w:type="dxa"/>
            <w:tcMar/>
          </w:tcPr>
          <w:p w:rsidR="00EE3B79" w:rsidP="00EE3B79" w:rsidRDefault="00EE3B79" w14:paraId="7F9A24DC" w14:textId="461755A9">
            <w:r>
              <w:t>23.42%</w:t>
            </w:r>
          </w:p>
        </w:tc>
        <w:tc>
          <w:tcPr>
            <w:tcW w:w="1620" w:type="dxa"/>
            <w:tcMar/>
          </w:tcPr>
          <w:p w:rsidR="00EE3B79" w:rsidP="00EE3B79" w:rsidRDefault="00EE3B79" w14:paraId="1367EC0F" w14:textId="340B727A">
            <w:r>
              <w:t>23.45%</w:t>
            </w:r>
          </w:p>
        </w:tc>
        <w:tc>
          <w:tcPr>
            <w:tcW w:w="1575" w:type="dxa"/>
            <w:tcMar/>
          </w:tcPr>
          <w:p w:rsidR="00EE3B79" w:rsidP="00EE3B79" w:rsidRDefault="00EE3B79" w14:paraId="0DA6F3E0" w14:textId="323D73A0">
            <w:r>
              <w:t>23.47%</w:t>
            </w:r>
          </w:p>
        </w:tc>
        <w:tc>
          <w:tcPr>
            <w:tcW w:w="1620" w:type="dxa"/>
            <w:tcMar/>
          </w:tcPr>
          <w:p w:rsidR="00EE3B79" w:rsidP="00EE3B79" w:rsidRDefault="00EE3B79" w14:paraId="4D87FD19" w14:textId="1D7E3E15">
            <w:r>
              <w:t>23.49%</w:t>
            </w:r>
          </w:p>
        </w:tc>
        <w:tc>
          <w:tcPr>
            <w:tcW w:w="1575" w:type="dxa"/>
            <w:tcMar/>
          </w:tcPr>
          <w:p w:rsidR="00EE3B79" w:rsidP="00EE3B79" w:rsidRDefault="00EE3B79" w14:paraId="1D60BDFE" w14:textId="4BF1B283">
            <w:r>
              <w:t>23.51%</w:t>
            </w:r>
          </w:p>
        </w:tc>
        <w:tc>
          <w:tcPr>
            <w:tcW w:w="1575" w:type="dxa"/>
            <w:tcMar/>
          </w:tcPr>
          <w:p w:rsidR="00EE3B79" w:rsidP="00EE3B79" w:rsidRDefault="00EE3B79" w14:paraId="2C9746D2" w14:textId="703F8149">
            <w:r>
              <w:t>28.99%</w:t>
            </w:r>
          </w:p>
        </w:tc>
        <w:tc>
          <w:tcPr>
            <w:tcW w:w="1590" w:type="dxa"/>
            <w:tcMar/>
          </w:tcPr>
          <w:p w:rsidR="00EE3B79" w:rsidP="00EE3B79" w:rsidRDefault="00EE3B79" w14:paraId="54783955" w14:textId="6907AE02">
            <w:r>
              <w:t>29.14%</w:t>
            </w:r>
          </w:p>
        </w:tc>
      </w:tr>
    </w:tbl>
    <w:p w:rsidR="6D1944CA" w:rsidP="6D1944CA" w:rsidRDefault="6D1944CA" w14:paraId="446BBFE5" w14:textId="2DCC2598">
      <w:pPr>
        <w:keepNext/>
      </w:pPr>
    </w:p>
    <w:p w:rsidRPr="00B40041" w:rsidR="00B40041" w:rsidP="00B40041" w:rsidRDefault="00B40041" w14:paraId="52A8112D" w14:textId="1739906E">
      <w:pPr>
        <w:pStyle w:val="Caption"/>
        <w:keepNext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40041">
        <w:rPr>
          <w:rFonts w:ascii="Arial" w:hAnsi="Arial" w:cs="Arial"/>
          <w:b/>
          <w:bCs/>
          <w:i w:val="0"/>
          <w:iCs w:val="0"/>
          <w:sz w:val="22"/>
          <w:szCs w:val="22"/>
        </w:rPr>
        <w:t>Secondary State Determined Performance Levels (SDPL)</w:t>
      </w:r>
    </w:p>
    <w:tbl>
      <w:tblPr>
        <w:tblStyle w:val="TableGrid"/>
        <w:tblW w:w="13281" w:type="dxa"/>
        <w:tblLook w:val="04A0" w:firstRow="1" w:lastRow="0" w:firstColumn="1" w:lastColumn="0" w:noHBand="0" w:noVBand="1"/>
      </w:tblPr>
      <w:tblGrid>
        <w:gridCol w:w="2310"/>
        <w:gridCol w:w="1320"/>
        <w:gridCol w:w="1620"/>
        <w:gridCol w:w="1575"/>
        <w:gridCol w:w="1605"/>
        <w:gridCol w:w="1590"/>
        <w:gridCol w:w="1641"/>
        <w:gridCol w:w="1620"/>
      </w:tblGrid>
      <w:tr w:rsidR="00954FBA" w:rsidTr="7B99F209" w14:paraId="0A1D4A53" w14:textId="2567865C">
        <w:tc>
          <w:tcPr>
            <w:tcW w:w="2310" w:type="dxa"/>
            <w:tcMar/>
          </w:tcPr>
          <w:p w:rsidR="00954FBA" w:rsidP="00954FBA" w:rsidRDefault="00954FBA" w14:paraId="006AAD05" w14:textId="5935FEE7">
            <w:r>
              <w:t>Indicator</w:t>
            </w:r>
          </w:p>
        </w:tc>
        <w:tc>
          <w:tcPr>
            <w:tcW w:w="1320" w:type="dxa"/>
            <w:tcMar/>
          </w:tcPr>
          <w:p w:rsidR="00954FBA" w:rsidP="00954FBA" w:rsidRDefault="00954FBA" w14:paraId="177C44CD" w14:textId="64D8A9C7">
            <w:r>
              <w:t>Baseline Level</w:t>
            </w:r>
          </w:p>
        </w:tc>
        <w:tc>
          <w:tcPr>
            <w:tcW w:w="1620" w:type="dxa"/>
            <w:tcMar/>
          </w:tcPr>
          <w:p w:rsidR="00954FBA" w:rsidP="00954FBA" w:rsidRDefault="00954FBA" w14:paraId="156837DB" w14:textId="166383D4">
            <w:r>
              <w:t>FY2020 Performance Level</w:t>
            </w:r>
          </w:p>
        </w:tc>
        <w:tc>
          <w:tcPr>
            <w:tcW w:w="1575" w:type="dxa"/>
            <w:tcMar/>
          </w:tcPr>
          <w:p w:rsidR="00954FBA" w:rsidP="00954FBA" w:rsidRDefault="00954FBA" w14:paraId="5A338132" w14:textId="2717BD1B">
            <w:r>
              <w:t>FY2021 Performance Level</w:t>
            </w:r>
          </w:p>
        </w:tc>
        <w:tc>
          <w:tcPr>
            <w:tcW w:w="1605" w:type="dxa"/>
            <w:tcMar/>
          </w:tcPr>
          <w:p w:rsidR="00954FBA" w:rsidP="00954FBA" w:rsidRDefault="00954FBA" w14:paraId="04F038F1" w14:textId="7DD96CCC">
            <w:r>
              <w:t>FY2022 Performance Level</w:t>
            </w:r>
          </w:p>
        </w:tc>
        <w:tc>
          <w:tcPr>
            <w:tcW w:w="1590" w:type="dxa"/>
            <w:tcMar/>
          </w:tcPr>
          <w:p w:rsidR="00954FBA" w:rsidP="00954FBA" w:rsidRDefault="00954FBA" w14:paraId="0EC52236" w14:textId="68090350">
            <w:r>
              <w:t>FY2023 Performance Level</w:t>
            </w:r>
          </w:p>
        </w:tc>
        <w:tc>
          <w:tcPr>
            <w:tcW w:w="1641" w:type="dxa"/>
            <w:tcMar/>
          </w:tcPr>
          <w:p w:rsidR="00954FBA" w:rsidP="00954FBA" w:rsidRDefault="00954FBA" w14:paraId="3BBE2EFC" w14:textId="1A2AB4EF">
            <w:r>
              <w:t>FY2024 Performance Level</w:t>
            </w:r>
          </w:p>
        </w:tc>
        <w:tc>
          <w:tcPr>
            <w:tcW w:w="1620" w:type="dxa"/>
            <w:tcMar/>
          </w:tcPr>
          <w:p w:rsidR="00954FBA" w:rsidP="00954FBA" w:rsidRDefault="00954FBA" w14:paraId="0F9A4E1E" w14:textId="5909AB2F">
            <w:r>
              <w:t>FY2025 Performance Level</w:t>
            </w:r>
          </w:p>
        </w:tc>
      </w:tr>
      <w:tr w:rsidR="00954FBA" w:rsidTr="7B99F209" w14:paraId="6287CB72" w14:textId="2DB38E72">
        <w:tc>
          <w:tcPr>
            <w:tcW w:w="2310" w:type="dxa"/>
            <w:tcMar/>
          </w:tcPr>
          <w:p w:rsidR="00954FBA" w:rsidP="00954FBA" w:rsidRDefault="00954FBA" w14:paraId="20B8FE4A" w14:textId="38C463E7">
            <w:r>
              <w:t>1S1: Four-Year Adjusted Cohort Graduation Rate (G)</w:t>
            </w:r>
          </w:p>
        </w:tc>
        <w:tc>
          <w:tcPr>
            <w:tcW w:w="1320" w:type="dxa"/>
            <w:tcMar/>
          </w:tcPr>
          <w:p w:rsidR="00954FBA" w:rsidP="00954FBA" w:rsidRDefault="00954FBA" w14:paraId="74000FD5" w14:textId="4ADB7EC1">
            <w:r>
              <w:t>96.20%</w:t>
            </w:r>
          </w:p>
        </w:tc>
        <w:tc>
          <w:tcPr>
            <w:tcW w:w="1620" w:type="dxa"/>
            <w:tcMar/>
          </w:tcPr>
          <w:p w:rsidR="00954FBA" w:rsidP="00954FBA" w:rsidRDefault="00954FBA" w14:paraId="416C4C00" w14:textId="1735EF4E">
            <w:r>
              <w:t>96.40%</w:t>
            </w:r>
          </w:p>
        </w:tc>
        <w:tc>
          <w:tcPr>
            <w:tcW w:w="1575" w:type="dxa"/>
            <w:tcMar/>
          </w:tcPr>
          <w:p w:rsidR="00954FBA" w:rsidP="00954FBA" w:rsidRDefault="00954FBA" w14:paraId="72AC6BF2" w14:textId="0846D067">
            <w:r>
              <w:t>96.60%</w:t>
            </w:r>
          </w:p>
        </w:tc>
        <w:tc>
          <w:tcPr>
            <w:tcW w:w="1605" w:type="dxa"/>
            <w:tcMar/>
          </w:tcPr>
          <w:p w:rsidR="00954FBA" w:rsidP="00954FBA" w:rsidRDefault="00954FBA" w14:paraId="5BB61BD9" w14:textId="6878A43B">
            <w:r>
              <w:t>96.80%</w:t>
            </w:r>
          </w:p>
        </w:tc>
        <w:tc>
          <w:tcPr>
            <w:tcW w:w="1590" w:type="dxa"/>
            <w:tcMar/>
          </w:tcPr>
          <w:p w:rsidR="00954FBA" w:rsidP="00954FBA" w:rsidRDefault="00954FBA" w14:paraId="74573443" w14:textId="45A06265">
            <w:r>
              <w:t>97.00%</w:t>
            </w:r>
          </w:p>
        </w:tc>
        <w:tc>
          <w:tcPr>
            <w:tcW w:w="1641" w:type="dxa"/>
            <w:tcMar/>
          </w:tcPr>
          <w:p w:rsidR="00954FBA" w:rsidP="00954FBA" w:rsidRDefault="00954FBA" w14:paraId="507CE5C6" w14:textId="6109005F">
            <w:r>
              <w:t>99.03%</w:t>
            </w:r>
          </w:p>
        </w:tc>
        <w:tc>
          <w:tcPr>
            <w:tcW w:w="1620" w:type="dxa"/>
            <w:tcMar/>
          </w:tcPr>
          <w:p w:rsidR="00954FBA" w:rsidP="00954FBA" w:rsidRDefault="00954FBA" w14:paraId="5C6C7212" w14:textId="4A0C9A15">
            <w:r>
              <w:t>99.19%</w:t>
            </w:r>
          </w:p>
        </w:tc>
      </w:tr>
      <w:tr w:rsidR="00954FBA" w:rsidTr="7B99F209" w14:paraId="113FAE86" w14:textId="47610164">
        <w:tc>
          <w:tcPr>
            <w:tcW w:w="2310" w:type="dxa"/>
            <w:tcMar/>
          </w:tcPr>
          <w:p w:rsidR="00954FBA" w:rsidP="00954FBA" w:rsidRDefault="00954FBA" w14:paraId="0E94D18C" w14:textId="45540518">
            <w:r>
              <w:t>2S1: Academic Proficiency in Reading/ Language Arts (AALA)</w:t>
            </w:r>
          </w:p>
        </w:tc>
        <w:tc>
          <w:tcPr>
            <w:tcW w:w="1320" w:type="dxa"/>
            <w:tcMar/>
          </w:tcPr>
          <w:p w:rsidR="00954FBA" w:rsidP="00954FBA" w:rsidRDefault="00954FBA" w14:paraId="7E37A85F" w14:textId="756624F2">
            <w:r>
              <w:t>64.06%</w:t>
            </w:r>
          </w:p>
        </w:tc>
        <w:tc>
          <w:tcPr>
            <w:tcW w:w="1620" w:type="dxa"/>
            <w:tcMar/>
          </w:tcPr>
          <w:p w:rsidR="00954FBA" w:rsidP="00954FBA" w:rsidRDefault="00954FBA" w14:paraId="04CECD30" w14:textId="77777777">
            <w:r>
              <w:t>65.50%</w:t>
            </w:r>
          </w:p>
          <w:p w:rsidR="00954FBA" w:rsidP="00954FBA" w:rsidRDefault="00954FBA" w14:paraId="38432D6A" w14:textId="6420711C"/>
        </w:tc>
        <w:tc>
          <w:tcPr>
            <w:tcW w:w="1575" w:type="dxa"/>
            <w:tcMar/>
          </w:tcPr>
          <w:p w:rsidR="00954FBA" w:rsidP="00954FBA" w:rsidRDefault="00954FBA" w14:paraId="0431FA60" w14:textId="7BC97352">
            <w:r>
              <w:t>67.00%</w:t>
            </w:r>
          </w:p>
        </w:tc>
        <w:tc>
          <w:tcPr>
            <w:tcW w:w="1605" w:type="dxa"/>
            <w:tcMar/>
          </w:tcPr>
          <w:p w:rsidR="00954FBA" w:rsidP="00954FBA" w:rsidRDefault="00954FBA" w14:paraId="0C5EF791" w14:textId="138C7400">
            <w:r>
              <w:t>68.50%</w:t>
            </w:r>
          </w:p>
        </w:tc>
        <w:tc>
          <w:tcPr>
            <w:tcW w:w="1590" w:type="dxa"/>
            <w:tcMar/>
          </w:tcPr>
          <w:p w:rsidR="00954FBA" w:rsidP="00954FBA" w:rsidRDefault="00954FBA" w14:paraId="324C1C1D" w14:textId="3FD14240">
            <w:r>
              <w:t>70.00%</w:t>
            </w:r>
          </w:p>
        </w:tc>
        <w:tc>
          <w:tcPr>
            <w:tcW w:w="1641" w:type="dxa"/>
            <w:tcMar/>
          </w:tcPr>
          <w:p w:rsidR="00954FBA" w:rsidP="00954FBA" w:rsidRDefault="00954FBA" w14:paraId="2CDF6558" w14:textId="526BAF62">
            <w:r>
              <w:t>59.61%</w:t>
            </w:r>
          </w:p>
        </w:tc>
        <w:tc>
          <w:tcPr>
            <w:tcW w:w="1620" w:type="dxa"/>
            <w:tcMar/>
          </w:tcPr>
          <w:p w:rsidR="00954FBA" w:rsidP="00954FBA" w:rsidRDefault="00954FBA" w14:paraId="6F7F45E6" w14:textId="0A48E6DB">
            <w:r>
              <w:t>57.63%</w:t>
            </w:r>
          </w:p>
        </w:tc>
      </w:tr>
      <w:tr w:rsidR="00954FBA" w:rsidTr="7B99F209" w14:paraId="7431B1C3" w14:textId="00A969F7">
        <w:tc>
          <w:tcPr>
            <w:tcW w:w="2310" w:type="dxa"/>
            <w:tcMar/>
          </w:tcPr>
          <w:p w:rsidR="00954FBA" w:rsidP="00954FBA" w:rsidRDefault="00954FBA" w14:paraId="5316FE14" w14:textId="04408F3F">
            <w:r>
              <w:t>2S2: Academic Proficiency in Math (</w:t>
            </w:r>
            <w:proofErr w:type="spellStart"/>
            <w:r>
              <w:t>AAMath</w:t>
            </w:r>
            <w:proofErr w:type="spellEnd"/>
            <w:r>
              <w:t>)</w:t>
            </w:r>
          </w:p>
        </w:tc>
        <w:tc>
          <w:tcPr>
            <w:tcW w:w="1320" w:type="dxa"/>
            <w:tcMar/>
          </w:tcPr>
          <w:p w:rsidR="00954FBA" w:rsidP="00954FBA" w:rsidRDefault="00954FBA" w14:paraId="341E3655" w14:textId="3952B131">
            <w:r>
              <w:t>33.04%</w:t>
            </w:r>
          </w:p>
        </w:tc>
        <w:tc>
          <w:tcPr>
            <w:tcW w:w="1620" w:type="dxa"/>
            <w:tcMar/>
          </w:tcPr>
          <w:p w:rsidR="00954FBA" w:rsidP="00954FBA" w:rsidRDefault="00954FBA" w14:paraId="06173865" w14:textId="6CAFAD38">
            <w:r>
              <w:t>34.50%</w:t>
            </w:r>
          </w:p>
        </w:tc>
        <w:tc>
          <w:tcPr>
            <w:tcW w:w="1575" w:type="dxa"/>
            <w:tcMar/>
          </w:tcPr>
          <w:p w:rsidR="00954FBA" w:rsidP="00954FBA" w:rsidRDefault="00954FBA" w14:paraId="43DB222E" w14:textId="56D8269F">
            <w:r>
              <w:t>36.00%</w:t>
            </w:r>
          </w:p>
        </w:tc>
        <w:tc>
          <w:tcPr>
            <w:tcW w:w="1605" w:type="dxa"/>
            <w:tcMar/>
          </w:tcPr>
          <w:p w:rsidR="00954FBA" w:rsidP="00954FBA" w:rsidRDefault="00954FBA" w14:paraId="48BB0DFC" w14:textId="629A2BD3">
            <w:r>
              <w:t>37.50%</w:t>
            </w:r>
          </w:p>
        </w:tc>
        <w:tc>
          <w:tcPr>
            <w:tcW w:w="1590" w:type="dxa"/>
            <w:tcMar/>
          </w:tcPr>
          <w:p w:rsidR="00954FBA" w:rsidP="00954FBA" w:rsidRDefault="00954FBA" w14:paraId="4B145D21" w14:textId="4B1A033A">
            <w:r>
              <w:t>39.00%</w:t>
            </w:r>
          </w:p>
        </w:tc>
        <w:tc>
          <w:tcPr>
            <w:tcW w:w="1641" w:type="dxa"/>
            <w:tcMar/>
          </w:tcPr>
          <w:p w:rsidR="00954FBA" w:rsidP="00954FBA" w:rsidRDefault="00954FBA" w14:paraId="674599FF" w14:textId="362AB0C8">
            <w:r>
              <w:t>40.12%</w:t>
            </w:r>
          </w:p>
        </w:tc>
        <w:tc>
          <w:tcPr>
            <w:tcW w:w="1620" w:type="dxa"/>
            <w:tcMar/>
          </w:tcPr>
          <w:p w:rsidR="00954FBA" w:rsidP="00954FBA" w:rsidRDefault="00954FBA" w14:paraId="7E52E14C" w14:textId="5C02C14F">
            <w:r>
              <w:t>38.04%</w:t>
            </w:r>
          </w:p>
        </w:tc>
      </w:tr>
      <w:tr w:rsidR="00954FBA" w:rsidTr="7B99F209" w14:paraId="43F97D74" w14:textId="4C9A2622">
        <w:tc>
          <w:tcPr>
            <w:tcW w:w="2310" w:type="dxa"/>
            <w:tcMar/>
          </w:tcPr>
          <w:p w:rsidR="00954FBA" w:rsidP="00954FBA" w:rsidRDefault="00954FBA" w14:paraId="317D75C9" w14:textId="54389FC7">
            <w:r>
              <w:lastRenderedPageBreak/>
              <w:t>2S3: Academic Proficiency in Science (</w:t>
            </w:r>
            <w:proofErr w:type="spellStart"/>
            <w:r>
              <w:t>AASci</w:t>
            </w:r>
            <w:proofErr w:type="spellEnd"/>
            <w:r>
              <w:t>)</w:t>
            </w:r>
          </w:p>
        </w:tc>
        <w:tc>
          <w:tcPr>
            <w:tcW w:w="1320" w:type="dxa"/>
            <w:tcMar/>
          </w:tcPr>
          <w:p w:rsidR="00954FBA" w:rsidP="00954FBA" w:rsidRDefault="00954FBA" w14:paraId="351C61E2" w14:textId="334F1739">
            <w:r>
              <w:t>27.42%</w:t>
            </w:r>
          </w:p>
        </w:tc>
        <w:tc>
          <w:tcPr>
            <w:tcW w:w="1620" w:type="dxa"/>
            <w:tcMar/>
          </w:tcPr>
          <w:p w:rsidR="00954FBA" w:rsidP="00954FBA" w:rsidRDefault="00954FBA" w14:paraId="1CE3E7FB" w14:textId="2C30D194">
            <w:r>
              <w:t>27.45%</w:t>
            </w:r>
          </w:p>
        </w:tc>
        <w:tc>
          <w:tcPr>
            <w:tcW w:w="1575" w:type="dxa"/>
            <w:tcMar/>
          </w:tcPr>
          <w:p w:rsidR="00954FBA" w:rsidP="00954FBA" w:rsidRDefault="00954FBA" w14:paraId="6E474998" w14:textId="15D41D69">
            <w:r>
              <w:t>27.65%</w:t>
            </w:r>
          </w:p>
        </w:tc>
        <w:tc>
          <w:tcPr>
            <w:tcW w:w="1605" w:type="dxa"/>
            <w:tcMar/>
          </w:tcPr>
          <w:p w:rsidR="00954FBA" w:rsidP="00954FBA" w:rsidRDefault="00954FBA" w14:paraId="3FDF3C03" w14:textId="3A0935CB">
            <w:r>
              <w:t>27.85%</w:t>
            </w:r>
          </w:p>
        </w:tc>
        <w:tc>
          <w:tcPr>
            <w:tcW w:w="1590" w:type="dxa"/>
            <w:tcMar/>
          </w:tcPr>
          <w:p w:rsidR="00954FBA" w:rsidP="00954FBA" w:rsidRDefault="00954FBA" w14:paraId="720E193A" w14:textId="17D2BB5A">
            <w:r>
              <w:t>28.00%</w:t>
            </w:r>
          </w:p>
        </w:tc>
        <w:tc>
          <w:tcPr>
            <w:tcW w:w="1641" w:type="dxa"/>
            <w:tcMar/>
          </w:tcPr>
          <w:p w:rsidR="00954FBA" w:rsidP="00954FBA" w:rsidRDefault="00954FBA" w14:paraId="21EAB39E" w14:textId="31D5EA0E">
            <w:r>
              <w:t>31.14%</w:t>
            </w:r>
          </w:p>
        </w:tc>
        <w:tc>
          <w:tcPr>
            <w:tcW w:w="1620" w:type="dxa"/>
            <w:tcMar/>
          </w:tcPr>
          <w:p w:rsidR="00954FBA" w:rsidP="00954FBA" w:rsidRDefault="00954FBA" w14:paraId="50B5BF97" w14:textId="4FB79EE0">
            <w:r>
              <w:t>31.43%</w:t>
            </w:r>
          </w:p>
        </w:tc>
      </w:tr>
      <w:tr w:rsidR="00954FBA" w:rsidTr="7B99F209" w14:paraId="42EC9E13" w14:textId="6783EA81">
        <w:tc>
          <w:tcPr>
            <w:tcW w:w="2310" w:type="dxa"/>
            <w:tcMar/>
          </w:tcPr>
          <w:p w:rsidR="00954FBA" w:rsidP="00954FBA" w:rsidRDefault="00954FBA" w14:paraId="554EA8CD" w14:textId="6E04E045">
            <w:r>
              <w:t>3S1: Postsecondary Placement (P)</w:t>
            </w:r>
          </w:p>
        </w:tc>
        <w:tc>
          <w:tcPr>
            <w:tcW w:w="1320" w:type="dxa"/>
            <w:tcMar/>
          </w:tcPr>
          <w:p w:rsidR="00954FBA" w:rsidP="00954FBA" w:rsidRDefault="00954FBA" w14:paraId="45AE9C43" w14:textId="7E66266C">
            <w:r>
              <w:t>92.25%</w:t>
            </w:r>
          </w:p>
        </w:tc>
        <w:tc>
          <w:tcPr>
            <w:tcW w:w="1620" w:type="dxa"/>
            <w:tcMar/>
          </w:tcPr>
          <w:p w:rsidR="00954FBA" w:rsidP="00954FBA" w:rsidRDefault="00954FBA" w14:paraId="56AD7D5F" w14:textId="45665349">
            <w:r>
              <w:t>92.50%</w:t>
            </w:r>
          </w:p>
        </w:tc>
        <w:tc>
          <w:tcPr>
            <w:tcW w:w="1575" w:type="dxa"/>
            <w:tcMar/>
          </w:tcPr>
          <w:p w:rsidR="00954FBA" w:rsidP="00954FBA" w:rsidRDefault="00954FBA" w14:paraId="58AF86D8" w14:textId="07A02D0B">
            <w:r>
              <w:t>92.75%</w:t>
            </w:r>
          </w:p>
        </w:tc>
        <w:tc>
          <w:tcPr>
            <w:tcW w:w="1605" w:type="dxa"/>
            <w:tcMar/>
          </w:tcPr>
          <w:p w:rsidR="00954FBA" w:rsidP="00954FBA" w:rsidRDefault="00954FBA" w14:paraId="60D4E46F" w14:textId="053F8091">
            <w:r>
              <w:t>93.00%.</w:t>
            </w:r>
          </w:p>
        </w:tc>
        <w:tc>
          <w:tcPr>
            <w:tcW w:w="1590" w:type="dxa"/>
            <w:tcMar/>
          </w:tcPr>
          <w:p w:rsidR="00954FBA" w:rsidP="00954FBA" w:rsidRDefault="00954FBA" w14:paraId="624C599A" w14:textId="08B01E06">
            <w:r>
              <w:t>93.25%</w:t>
            </w:r>
          </w:p>
        </w:tc>
        <w:tc>
          <w:tcPr>
            <w:tcW w:w="1641" w:type="dxa"/>
            <w:tcMar/>
          </w:tcPr>
          <w:p w:rsidR="00954FBA" w:rsidP="00954FBA" w:rsidRDefault="00954FBA" w14:paraId="26165CA3" w14:textId="7680E38A">
            <w:r>
              <w:t>98.68%</w:t>
            </w:r>
          </w:p>
        </w:tc>
        <w:tc>
          <w:tcPr>
            <w:tcW w:w="1620" w:type="dxa"/>
            <w:tcMar/>
          </w:tcPr>
          <w:p w:rsidR="00954FBA" w:rsidP="00954FBA" w:rsidRDefault="00954FBA" w14:paraId="4AC85139" w14:textId="3F5FEED3">
            <w:r>
              <w:t>99.24%</w:t>
            </w:r>
          </w:p>
        </w:tc>
      </w:tr>
      <w:tr w:rsidR="00954FBA" w:rsidTr="7B99F209" w14:paraId="4BC798DF" w14:textId="01E0C2F0">
        <w:tc>
          <w:tcPr>
            <w:tcW w:w="2310" w:type="dxa"/>
            <w:tcMar/>
          </w:tcPr>
          <w:p w:rsidR="00954FBA" w:rsidP="00954FBA" w:rsidRDefault="00954FBA" w14:paraId="7B188D96" w14:textId="4C3424FC">
            <w:r>
              <w:t>4S1: Nontraditional Program Enrollment (NC)</w:t>
            </w:r>
          </w:p>
        </w:tc>
        <w:tc>
          <w:tcPr>
            <w:tcW w:w="1320" w:type="dxa"/>
            <w:tcMar/>
          </w:tcPr>
          <w:p w:rsidR="00954FBA" w:rsidP="00954FBA" w:rsidRDefault="00954FBA" w14:paraId="77FC9AE4" w14:textId="24AD732B">
            <w:r>
              <w:t>28.33%</w:t>
            </w:r>
          </w:p>
        </w:tc>
        <w:tc>
          <w:tcPr>
            <w:tcW w:w="1620" w:type="dxa"/>
            <w:tcMar/>
          </w:tcPr>
          <w:p w:rsidR="00954FBA" w:rsidP="00954FBA" w:rsidRDefault="00954FBA" w14:paraId="30CF1025" w14:textId="68E9676E">
            <w:r>
              <w:t>28.35%</w:t>
            </w:r>
          </w:p>
        </w:tc>
        <w:tc>
          <w:tcPr>
            <w:tcW w:w="1575" w:type="dxa"/>
            <w:tcMar/>
          </w:tcPr>
          <w:p w:rsidR="00954FBA" w:rsidP="00954FBA" w:rsidRDefault="00954FBA" w14:paraId="12AB23E6" w14:textId="56589C4E">
            <w:r>
              <w:t>28.40%</w:t>
            </w:r>
          </w:p>
        </w:tc>
        <w:tc>
          <w:tcPr>
            <w:tcW w:w="1605" w:type="dxa"/>
            <w:tcMar/>
          </w:tcPr>
          <w:p w:rsidR="00954FBA" w:rsidP="00954FBA" w:rsidRDefault="00954FBA" w14:paraId="4A8CFAD5" w14:textId="7033FF4F">
            <w:r>
              <w:t>28.45%</w:t>
            </w:r>
          </w:p>
        </w:tc>
        <w:tc>
          <w:tcPr>
            <w:tcW w:w="1590" w:type="dxa"/>
            <w:tcMar/>
          </w:tcPr>
          <w:p w:rsidR="00954FBA" w:rsidP="00954FBA" w:rsidRDefault="00954FBA" w14:paraId="1D7F93C6" w14:textId="1B19AB25">
            <w:r>
              <w:t>28.50%</w:t>
            </w:r>
          </w:p>
        </w:tc>
        <w:tc>
          <w:tcPr>
            <w:tcW w:w="1641" w:type="dxa"/>
            <w:tcMar/>
          </w:tcPr>
          <w:p w:rsidR="00954FBA" w:rsidP="00954FBA" w:rsidRDefault="00954FBA" w14:paraId="4254D6F7" w14:textId="11194DFB">
            <w:r>
              <w:t>28.56%</w:t>
            </w:r>
          </w:p>
        </w:tc>
        <w:tc>
          <w:tcPr>
            <w:tcW w:w="1620" w:type="dxa"/>
            <w:tcMar/>
          </w:tcPr>
          <w:p w:rsidR="00954FBA" w:rsidP="00954FBA" w:rsidRDefault="00954FBA" w14:paraId="26A332C0" w14:textId="0DE41C78">
            <w:r>
              <w:t>29.19%</w:t>
            </w:r>
          </w:p>
        </w:tc>
      </w:tr>
      <w:tr w:rsidR="00954FBA" w:rsidTr="7B99F209" w14:paraId="11A37CEF" w14:textId="5DDEC71E">
        <w:tc>
          <w:tcPr>
            <w:tcW w:w="2310" w:type="dxa"/>
            <w:tcMar/>
          </w:tcPr>
          <w:p w:rsidR="00954FBA" w:rsidP="00954FBA" w:rsidRDefault="00954FBA" w14:paraId="21DE91C0" w14:textId="0098D8E4">
            <w:r>
              <w:t>5S1: Program Quality-Attained Recognized Postsecondary Credential (PCL)</w:t>
            </w:r>
          </w:p>
        </w:tc>
        <w:tc>
          <w:tcPr>
            <w:tcW w:w="1320" w:type="dxa"/>
            <w:tcMar/>
          </w:tcPr>
          <w:p w:rsidR="00954FBA" w:rsidP="00954FBA" w:rsidRDefault="00954FBA" w14:paraId="728A325D" w14:textId="71BE540D">
            <w:r>
              <w:t>NA</w:t>
            </w:r>
          </w:p>
        </w:tc>
        <w:tc>
          <w:tcPr>
            <w:tcW w:w="1620" w:type="dxa"/>
            <w:tcMar/>
          </w:tcPr>
          <w:p w:rsidR="00954FBA" w:rsidP="00954FBA" w:rsidRDefault="00954FBA" w14:paraId="3ABAFBCB" w14:textId="5C6A3FDB">
            <w:r>
              <w:t>NA</w:t>
            </w:r>
          </w:p>
        </w:tc>
        <w:tc>
          <w:tcPr>
            <w:tcW w:w="1575" w:type="dxa"/>
            <w:tcMar/>
          </w:tcPr>
          <w:p w:rsidR="00954FBA" w:rsidP="00954FBA" w:rsidRDefault="00954FBA" w14:paraId="325A64B4" w14:textId="31F8F0DE">
            <w:r>
              <w:t>NA</w:t>
            </w:r>
          </w:p>
        </w:tc>
        <w:tc>
          <w:tcPr>
            <w:tcW w:w="1605" w:type="dxa"/>
            <w:tcMar/>
          </w:tcPr>
          <w:p w:rsidR="00954FBA" w:rsidP="00954FBA" w:rsidRDefault="00954FBA" w14:paraId="50D60B95" w14:textId="5B12D16E">
            <w:r>
              <w:t>NA</w:t>
            </w:r>
          </w:p>
        </w:tc>
        <w:tc>
          <w:tcPr>
            <w:tcW w:w="1590" w:type="dxa"/>
            <w:tcMar/>
          </w:tcPr>
          <w:p w:rsidR="00954FBA" w:rsidP="00954FBA" w:rsidRDefault="00954FBA" w14:paraId="3E8723D4" w14:textId="775C1BAB">
            <w:r>
              <w:t>NA</w:t>
            </w:r>
          </w:p>
        </w:tc>
        <w:tc>
          <w:tcPr>
            <w:tcW w:w="1641" w:type="dxa"/>
            <w:tcMar/>
          </w:tcPr>
          <w:p w:rsidR="00954FBA" w:rsidP="00954FBA" w:rsidRDefault="00954FBA" w14:paraId="6176478B" w14:textId="03EADD7A">
            <w:r>
              <w:t>NA</w:t>
            </w:r>
          </w:p>
        </w:tc>
        <w:tc>
          <w:tcPr>
            <w:tcW w:w="1620" w:type="dxa"/>
            <w:tcMar/>
          </w:tcPr>
          <w:p w:rsidR="00954FBA" w:rsidP="00954FBA" w:rsidRDefault="00954FBA" w14:paraId="4689B2CC" w14:textId="164E55DC">
            <w:r>
              <w:t>NA</w:t>
            </w:r>
          </w:p>
        </w:tc>
      </w:tr>
      <w:tr w:rsidR="00954FBA" w:rsidTr="7B99F209" w14:paraId="4DB7372F" w14:textId="2B9D2157">
        <w:tc>
          <w:tcPr>
            <w:tcW w:w="2310" w:type="dxa"/>
            <w:tcMar/>
          </w:tcPr>
          <w:p w:rsidR="00954FBA" w:rsidP="00954FBA" w:rsidRDefault="00954FBA" w14:paraId="73BA1088" w14:textId="059F76FC">
            <w:r>
              <w:t>5S2: Program Quality-Attained Postsecondary Credits (PCT)</w:t>
            </w:r>
          </w:p>
        </w:tc>
        <w:tc>
          <w:tcPr>
            <w:tcW w:w="1320" w:type="dxa"/>
            <w:tcMar/>
          </w:tcPr>
          <w:p w:rsidR="00954FBA" w:rsidP="00954FBA" w:rsidRDefault="00954FBA" w14:paraId="44191AC1" w14:textId="22F336D2">
            <w:r>
              <w:t>NA</w:t>
            </w:r>
          </w:p>
        </w:tc>
        <w:tc>
          <w:tcPr>
            <w:tcW w:w="1620" w:type="dxa"/>
            <w:tcMar/>
          </w:tcPr>
          <w:p w:rsidR="00954FBA" w:rsidP="00954FBA" w:rsidRDefault="00954FBA" w14:paraId="122446F1" w14:textId="423799E9">
            <w:r>
              <w:t>NA</w:t>
            </w:r>
          </w:p>
        </w:tc>
        <w:tc>
          <w:tcPr>
            <w:tcW w:w="1575" w:type="dxa"/>
            <w:tcMar/>
          </w:tcPr>
          <w:p w:rsidR="00954FBA" w:rsidP="00954FBA" w:rsidRDefault="00954FBA" w14:paraId="14C24373" w14:textId="653E8E04">
            <w:r>
              <w:t>NA</w:t>
            </w:r>
          </w:p>
        </w:tc>
        <w:tc>
          <w:tcPr>
            <w:tcW w:w="1605" w:type="dxa"/>
            <w:tcMar/>
          </w:tcPr>
          <w:p w:rsidR="00954FBA" w:rsidP="00954FBA" w:rsidRDefault="00954FBA" w14:paraId="7BA25995" w14:textId="4A0FC388">
            <w:r>
              <w:t>NA</w:t>
            </w:r>
          </w:p>
        </w:tc>
        <w:tc>
          <w:tcPr>
            <w:tcW w:w="1590" w:type="dxa"/>
            <w:tcMar/>
          </w:tcPr>
          <w:p w:rsidR="00954FBA" w:rsidP="00954FBA" w:rsidRDefault="00954FBA" w14:paraId="1E539BEC" w14:textId="0CB4DC6C">
            <w:r>
              <w:t>NA</w:t>
            </w:r>
          </w:p>
        </w:tc>
        <w:tc>
          <w:tcPr>
            <w:tcW w:w="1641" w:type="dxa"/>
            <w:tcMar/>
          </w:tcPr>
          <w:p w:rsidR="00954FBA" w:rsidP="00954FBA" w:rsidRDefault="00954FBA" w14:paraId="08916AB4" w14:textId="6911455C">
            <w:r>
              <w:t>NA</w:t>
            </w:r>
          </w:p>
        </w:tc>
        <w:tc>
          <w:tcPr>
            <w:tcW w:w="1620" w:type="dxa"/>
            <w:tcMar/>
          </w:tcPr>
          <w:p w:rsidR="00954FBA" w:rsidP="00954FBA" w:rsidRDefault="00954FBA" w14:paraId="4614C94B" w14:textId="054B773F">
            <w:r>
              <w:t>NA</w:t>
            </w:r>
          </w:p>
        </w:tc>
      </w:tr>
      <w:tr w:rsidR="00954FBA" w:rsidTr="7B99F209" w14:paraId="69FC8435" w14:textId="267B0F0D">
        <w:tc>
          <w:tcPr>
            <w:tcW w:w="2310" w:type="dxa"/>
            <w:tcMar/>
          </w:tcPr>
          <w:p w:rsidR="00954FBA" w:rsidP="00954FBA" w:rsidRDefault="00954FBA" w14:paraId="16CB1130" w14:textId="1AC2E844">
            <w:r>
              <w:t>5S3: Program Quality-Participated in Work Based Learning (WBL)</w:t>
            </w:r>
          </w:p>
        </w:tc>
        <w:tc>
          <w:tcPr>
            <w:tcW w:w="1320" w:type="dxa"/>
            <w:tcMar/>
          </w:tcPr>
          <w:p w:rsidR="00954FBA" w:rsidP="00954FBA" w:rsidRDefault="00954FBA" w14:paraId="075F1F8E" w14:textId="4C5BCB9B">
            <w:r>
              <w:t>8.95%</w:t>
            </w:r>
          </w:p>
        </w:tc>
        <w:tc>
          <w:tcPr>
            <w:tcW w:w="1620" w:type="dxa"/>
            <w:tcMar/>
          </w:tcPr>
          <w:p w:rsidR="00954FBA" w:rsidP="00954FBA" w:rsidRDefault="00954FBA" w14:paraId="674A3824" w14:textId="04915C9D">
            <w:r>
              <w:t>9.00%</w:t>
            </w:r>
          </w:p>
        </w:tc>
        <w:tc>
          <w:tcPr>
            <w:tcW w:w="1575" w:type="dxa"/>
            <w:tcMar/>
          </w:tcPr>
          <w:p w:rsidR="00954FBA" w:rsidP="00954FBA" w:rsidRDefault="00954FBA" w14:paraId="2558A7B4" w14:textId="235BEE31">
            <w:r>
              <w:t>10.00%</w:t>
            </w:r>
          </w:p>
        </w:tc>
        <w:tc>
          <w:tcPr>
            <w:tcW w:w="1605" w:type="dxa"/>
            <w:tcMar/>
          </w:tcPr>
          <w:p w:rsidR="00954FBA" w:rsidP="00954FBA" w:rsidRDefault="00954FBA" w14:paraId="55266A13" w14:textId="40D8B4CB">
            <w:r>
              <w:t>11.00%</w:t>
            </w:r>
          </w:p>
        </w:tc>
        <w:tc>
          <w:tcPr>
            <w:tcW w:w="1590" w:type="dxa"/>
            <w:tcMar/>
          </w:tcPr>
          <w:p w:rsidR="00954FBA" w:rsidP="00954FBA" w:rsidRDefault="00954FBA" w14:paraId="3DC031E5" w14:textId="274946D9">
            <w:r>
              <w:t>12.00%</w:t>
            </w:r>
          </w:p>
        </w:tc>
        <w:tc>
          <w:tcPr>
            <w:tcW w:w="1641" w:type="dxa"/>
            <w:tcMar/>
          </w:tcPr>
          <w:p w:rsidR="00954FBA" w:rsidP="00954FBA" w:rsidRDefault="00954FBA" w14:paraId="1146F39D" w14:textId="61EDD936">
            <w:r>
              <w:t>59.37%</w:t>
            </w:r>
          </w:p>
        </w:tc>
        <w:tc>
          <w:tcPr>
            <w:tcW w:w="1620" w:type="dxa"/>
            <w:tcMar/>
          </w:tcPr>
          <w:p w:rsidR="00954FBA" w:rsidP="00954FBA" w:rsidRDefault="00954FBA" w14:paraId="59FD202A" w14:textId="280DD361">
            <w:r>
              <w:t>62.40%</w:t>
            </w:r>
          </w:p>
        </w:tc>
      </w:tr>
    </w:tbl>
    <w:p w:rsidR="00B40041" w:rsidP="00B40041" w:rsidRDefault="00B40041" w14:paraId="2B7944BA" w14:textId="77777777"/>
    <w:p w:rsidRPr="00B40041" w:rsidR="005937A1" w:rsidP="005937A1" w:rsidRDefault="005937A1" w14:paraId="32221270" w14:textId="39BB2264">
      <w:pPr>
        <w:pStyle w:val="ListParagraph"/>
        <w:numPr>
          <w:ilvl w:val="0"/>
          <w:numId w:val="1"/>
        </w:numPr>
      </w:pPr>
      <w:r>
        <w:t>The fiscal years in the table</w:t>
      </w:r>
      <w:r w:rsidR="00165781">
        <w:t>s</w:t>
      </w:r>
      <w:r>
        <w:t xml:space="preserve"> are based on federal fiscal years.  FY25 in the table</w:t>
      </w:r>
      <w:r w:rsidR="00165781">
        <w:t>s</w:t>
      </w:r>
      <w:r>
        <w:t xml:space="preserve"> is equivalent to New Jersey FY26</w:t>
      </w:r>
    </w:p>
    <w:sectPr w:rsidRPr="00B40041" w:rsidR="005937A1" w:rsidSect="00B400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F0A3C"/>
    <w:multiLevelType w:val="hybridMultilevel"/>
    <w:tmpl w:val="E8DAA674"/>
    <w:lvl w:ilvl="0" w:tplc="C68EB52C">
      <w:start w:val="6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278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yNTUxMDcwNTWyNDZT0lEKTi0uzszPAykwrAUAD/9pPywAAAA="/>
  </w:docVars>
  <w:rsids>
    <w:rsidRoot w:val="00B40041"/>
    <w:rsid w:val="00165781"/>
    <w:rsid w:val="00353DE8"/>
    <w:rsid w:val="00486983"/>
    <w:rsid w:val="005937A1"/>
    <w:rsid w:val="0063552A"/>
    <w:rsid w:val="007C3A1E"/>
    <w:rsid w:val="00954FBA"/>
    <w:rsid w:val="00A97D30"/>
    <w:rsid w:val="00B40041"/>
    <w:rsid w:val="00B94325"/>
    <w:rsid w:val="00CB67A2"/>
    <w:rsid w:val="00DD7CEA"/>
    <w:rsid w:val="00E026D9"/>
    <w:rsid w:val="00EE3B79"/>
    <w:rsid w:val="00F66713"/>
    <w:rsid w:val="00F86390"/>
    <w:rsid w:val="03D35028"/>
    <w:rsid w:val="0BF8284F"/>
    <w:rsid w:val="0C64F53C"/>
    <w:rsid w:val="0CC23F59"/>
    <w:rsid w:val="10EFC0FE"/>
    <w:rsid w:val="11BC79E4"/>
    <w:rsid w:val="1236E9E3"/>
    <w:rsid w:val="17CE7F15"/>
    <w:rsid w:val="1E90F37D"/>
    <w:rsid w:val="1F020A60"/>
    <w:rsid w:val="2204AD5D"/>
    <w:rsid w:val="23AABE6E"/>
    <w:rsid w:val="2402A058"/>
    <w:rsid w:val="24C2512B"/>
    <w:rsid w:val="26D3F098"/>
    <w:rsid w:val="2BCDDCDE"/>
    <w:rsid w:val="2FDA3326"/>
    <w:rsid w:val="329C76AA"/>
    <w:rsid w:val="35D6FB3A"/>
    <w:rsid w:val="3CC979F5"/>
    <w:rsid w:val="4197C4E7"/>
    <w:rsid w:val="426E0875"/>
    <w:rsid w:val="4276D831"/>
    <w:rsid w:val="4381A6AC"/>
    <w:rsid w:val="4671586B"/>
    <w:rsid w:val="4708C023"/>
    <w:rsid w:val="497DE139"/>
    <w:rsid w:val="4BB1A4D5"/>
    <w:rsid w:val="4DB878EA"/>
    <w:rsid w:val="527204A1"/>
    <w:rsid w:val="5743983D"/>
    <w:rsid w:val="5D91652B"/>
    <w:rsid w:val="61225183"/>
    <w:rsid w:val="66183121"/>
    <w:rsid w:val="6707F894"/>
    <w:rsid w:val="671ECF25"/>
    <w:rsid w:val="6B33B382"/>
    <w:rsid w:val="6D1944CA"/>
    <w:rsid w:val="701DA706"/>
    <w:rsid w:val="73E4783A"/>
    <w:rsid w:val="754E6FC4"/>
    <w:rsid w:val="7B99F209"/>
    <w:rsid w:val="7EB7F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39CF"/>
  <w15:chartTrackingRefBased/>
  <w15:docId w15:val="{D6CA9D86-0808-4CB5-BC0F-62AE1B0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Caption"/>
    <w:next w:val="Normal"/>
    <w:link w:val="Heading1Char"/>
    <w:uiPriority w:val="9"/>
    <w:qFormat/>
    <w:rsid w:val="00B40041"/>
    <w:pPr>
      <w:keepNext/>
      <w:outlineLvl w:val="0"/>
    </w:pPr>
    <w:rPr>
      <w:rFonts w:ascii="Arial" w:hAnsi="Arial" w:cs="Arial"/>
      <w:b/>
      <w:bCs/>
      <w:i w:val="0"/>
      <w:iCs w:val="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04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40041"/>
    <w:rPr>
      <w:rFonts w:ascii="Arial" w:hAnsi="Arial" w:cs="Arial"/>
      <w:b/>
      <w:bCs/>
      <w:color w:val="0E2841" w:themeColor="text2"/>
      <w:sz w:val="22"/>
      <w:szCs w:val="2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4004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4004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4004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4004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4004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4004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4004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40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04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4004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40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04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40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04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40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0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00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40041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dff21c-a7e5-48de-8773-03ce2d9725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978DA98C84E40A8604A6463107DD9" ma:contentTypeVersion="14" ma:contentTypeDescription="Create a new document." ma:contentTypeScope="" ma:versionID="617f8badda4b786a8afce839c1ed04bb">
  <xsd:schema xmlns:xsd="http://www.w3.org/2001/XMLSchema" xmlns:xs="http://www.w3.org/2001/XMLSchema" xmlns:p="http://schemas.microsoft.com/office/2006/metadata/properties" xmlns:ns2="1ddff21c-a7e5-48de-8773-03ce2d972554" xmlns:ns3="9b710e16-3e75-45a6-9780-5477bfa7c7b4" targetNamespace="http://schemas.microsoft.com/office/2006/metadata/properties" ma:root="true" ma:fieldsID="5b90ed8c81380cfb5dba7a34760eb42b" ns2:_="" ns3:_="">
    <xsd:import namespace="1ddff21c-a7e5-48de-8773-03ce2d972554"/>
    <xsd:import namespace="9b710e16-3e75-45a6-9780-5477bfa7c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ff21c-a7e5-48de-8773-03ce2d97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10e16-3e75-45a6-9780-5477bfa7c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06E75-8578-44BD-8706-CF4629E30B32}">
  <ds:schemaRefs>
    <ds:schemaRef ds:uri="http://schemas.microsoft.com/office/2006/metadata/properties"/>
    <ds:schemaRef ds:uri="http://schemas.microsoft.com/office/infopath/2007/PartnerControls"/>
    <ds:schemaRef ds:uri="1ddff21c-a7e5-48de-8773-03ce2d972554"/>
  </ds:schemaRefs>
</ds:datastoreItem>
</file>

<file path=customXml/itemProps2.xml><?xml version="1.0" encoding="utf-8"?>
<ds:datastoreItem xmlns:ds="http://schemas.openxmlformats.org/officeDocument/2006/customXml" ds:itemID="{2CBF1610-BE4B-4D3A-9F12-2B57A7C1D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96B0C-C13D-4381-86B0-4C11EE95D8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NJ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McClintock, Lisa</dc:creator>
  <cp:keywords/>
  <dc:description/>
  <cp:lastModifiedBy>Cross, Genevieve</cp:lastModifiedBy>
  <cp:revision>5</cp:revision>
  <dcterms:created xsi:type="dcterms:W3CDTF">2025-07-09T13:15:00Z</dcterms:created>
  <dcterms:modified xsi:type="dcterms:W3CDTF">2025-07-10T12:47:49Z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0x0101009E6978DA98C84E40A8604A6463107DD9</vt:lpwstr>
  </property>
</Properties>
</file>